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F8388" w14:textId="627A8DC7" w:rsidR="0028478F" w:rsidRPr="009E4792" w:rsidRDefault="00820A82" w:rsidP="00AA2471">
      <w:pPr>
        <w:spacing w:after="120"/>
        <w:contextualSpacing/>
        <w:jc w:val="center"/>
        <w:rPr>
          <w:b/>
        </w:rPr>
      </w:pPr>
      <w:r>
        <w:rPr>
          <w:b/>
        </w:rPr>
        <w:t>Ability of Completers to Be Hired in Education Positions for Which They Have Been Prepared</w:t>
      </w:r>
    </w:p>
    <w:p w14:paraId="7E4EA626" w14:textId="77777777" w:rsidR="00AA2471" w:rsidRDefault="00AA2471" w:rsidP="009E4792">
      <w:pPr>
        <w:rPr>
          <w:i/>
        </w:rPr>
      </w:pPr>
    </w:p>
    <w:p w14:paraId="4DD1CDB7" w14:textId="628AB500" w:rsidR="001A3E10" w:rsidRPr="001A3E10" w:rsidRDefault="001A3E10" w:rsidP="009E4792">
      <w:pPr>
        <w:rPr>
          <w:i/>
        </w:rPr>
      </w:pPr>
      <w:r w:rsidRPr="001A3E10">
        <w:rPr>
          <w:i/>
        </w:rPr>
        <w:t>Teacher Education</w:t>
      </w:r>
    </w:p>
    <w:p w14:paraId="635BD8FF" w14:textId="77777777" w:rsidR="003923B3" w:rsidRDefault="003923B3" w:rsidP="002368A9">
      <w:pPr>
        <w:spacing w:after="0"/>
      </w:pPr>
      <w:r>
        <w:t>Employment Milestones:</w:t>
      </w:r>
    </w:p>
    <w:p w14:paraId="55A0A266" w14:textId="77777777" w:rsidR="003923B3" w:rsidRDefault="003923B3" w:rsidP="002368A9">
      <w:pPr>
        <w:spacing w:after="0"/>
      </w:pPr>
    </w:p>
    <w:p w14:paraId="55D2E4D5" w14:textId="30C7445F" w:rsidR="003923B3" w:rsidRPr="00B04F52" w:rsidRDefault="009F6E02" w:rsidP="002368A9">
      <w:pPr>
        <w:spacing w:after="0"/>
        <w:rPr>
          <w:i/>
        </w:rPr>
      </w:pPr>
      <w:r>
        <w:t>The NM Public Education Department provided NMSU with the number of teachers across three cohorts of graduates who were found teaching in New Mexico.</w:t>
      </w:r>
      <w:r w:rsidR="003923B3">
        <w:t xml:space="preserve"> Program specific data is not included here for confidentiality reasons, however, this information is shared with program leadership. </w:t>
      </w:r>
      <w:r w:rsidR="00B04F52" w:rsidRPr="00B04F52">
        <w:rPr>
          <w:i/>
        </w:rPr>
        <w:t>Note: This reflects the most recent data provided by the NM Public Education Department and are the most updated available.</w:t>
      </w:r>
    </w:p>
    <w:p w14:paraId="7C14B356" w14:textId="062F8F17" w:rsidR="001A3E10" w:rsidRDefault="001A3E10" w:rsidP="002368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5"/>
        <w:gridCol w:w="1329"/>
        <w:gridCol w:w="2690"/>
        <w:gridCol w:w="2425"/>
      </w:tblGrid>
      <w:tr w:rsidR="00D87533" w:rsidRPr="00D87CD3" w14:paraId="7970D987" w14:textId="77777777" w:rsidTr="00596EC5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14:paraId="16B27C2B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Graduation Year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14:paraId="58523D16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Total Graduates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14:paraId="65FE490F" w14:textId="77777777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Teaching in NM</w:t>
            </w:r>
          </w:p>
        </w:tc>
        <w:tc>
          <w:tcPr>
            <w:tcW w:w="2690" w:type="dxa"/>
          </w:tcPr>
          <w:p w14:paraId="58E97A91" w14:textId="6D3EF44A" w:rsidR="00D87533" w:rsidRPr="00D87CD3" w:rsidRDefault="00D87533" w:rsidP="00D8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Grads Teaching in NM Attaining Level II or III Licensure</w:t>
            </w:r>
          </w:p>
        </w:tc>
        <w:tc>
          <w:tcPr>
            <w:tcW w:w="2425" w:type="dxa"/>
            <w:shd w:val="clear" w:color="auto" w:fill="auto"/>
            <w:vAlign w:val="bottom"/>
            <w:hideMark/>
          </w:tcPr>
          <w:p w14:paraId="6745BD02" w14:textId="1E5C605C" w:rsidR="00D87533" w:rsidRPr="00D87CD3" w:rsidRDefault="00D87533" w:rsidP="00D87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7CD3">
              <w:rPr>
                <w:rFonts w:ascii="Calibri" w:eastAsia="Times New Roman" w:hAnsi="Calibri" w:cs="Calibri"/>
                <w:b/>
                <w:bCs/>
                <w:color w:val="000000"/>
              </w:rPr>
              <w:t>Not Teaching in NM</w:t>
            </w:r>
          </w:p>
        </w:tc>
      </w:tr>
      <w:tr w:rsidR="00D87533" w:rsidRPr="00D87CD3" w14:paraId="177EF6D7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60E25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2017 - 2018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569964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EB61C58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90" w:type="dxa"/>
          </w:tcPr>
          <w:p w14:paraId="512A1829" w14:textId="2316C7CF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B6A48FD" w14:textId="10100204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7533" w:rsidRPr="00D87CD3" w14:paraId="18E24DCD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06347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2018 - 2019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617D9E71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B34347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690" w:type="dxa"/>
          </w:tcPr>
          <w:p w14:paraId="7BC6D697" w14:textId="53B38698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CCC68EF" w14:textId="56EDCC63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87533" w:rsidRPr="00D87CD3" w14:paraId="28385E6C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F750F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2019 - 2020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7DCA9424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FA22528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90" w:type="dxa"/>
          </w:tcPr>
          <w:p w14:paraId="65AF3805" w14:textId="4CCC2942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A7867F0" w14:textId="16235CE3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87533" w:rsidRPr="00D87CD3" w14:paraId="489CA18B" w14:textId="77777777" w:rsidTr="00596E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B0EDB" w14:textId="77777777" w:rsidR="00D87533" w:rsidRPr="00D87CD3" w:rsidRDefault="00D87533" w:rsidP="00D87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14:paraId="12C5B530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5C4ACCE" w14:textId="77777777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690" w:type="dxa"/>
          </w:tcPr>
          <w:p w14:paraId="71668CCB" w14:textId="331F83D0" w:rsidR="00D87533" w:rsidRPr="00D87CD3" w:rsidRDefault="00596EC5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52647C9" w14:textId="0E050391" w:rsidR="00D87533" w:rsidRPr="00D87CD3" w:rsidRDefault="00D87533" w:rsidP="00D87C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7CD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14:paraId="699122E8" w14:textId="77777777" w:rsidR="00D87CD3" w:rsidRDefault="00D87CD3" w:rsidP="002368A9">
      <w:pPr>
        <w:spacing w:after="0"/>
      </w:pPr>
    </w:p>
    <w:p w14:paraId="008ED940" w14:textId="0BDFE96A" w:rsidR="00070239" w:rsidRDefault="00070239" w:rsidP="002368A9">
      <w:pPr>
        <w:spacing w:after="0"/>
        <w:rPr>
          <w:i/>
        </w:rPr>
      </w:pPr>
      <w:r>
        <w:rPr>
          <w:i/>
        </w:rPr>
        <w:t>MA in Educational Leadership and Administration</w:t>
      </w:r>
    </w:p>
    <w:p w14:paraId="280A3D62" w14:textId="2BE1A315" w:rsidR="00070239" w:rsidRDefault="00070239" w:rsidP="002368A9">
      <w:pPr>
        <w:spacing w:after="0"/>
        <w:rPr>
          <w:i/>
        </w:rPr>
      </w:pPr>
    </w:p>
    <w:p w14:paraId="0A3A253D" w14:textId="69A53814" w:rsidR="00070239" w:rsidRPr="00070239" w:rsidRDefault="00070239" w:rsidP="002368A9">
      <w:pPr>
        <w:spacing w:after="0"/>
      </w:pPr>
      <w:r w:rsidRPr="00070239">
        <w:t>Employers are very satisfied with the results of the ELA PK-12 MA students. Moreover, the students consistently hit employment milestones within given timeframes as well as continue to advance through the administrative ladder to higher positions in PK-12 administration at district and state levels.</w:t>
      </w:r>
    </w:p>
    <w:p w14:paraId="0C5C0E1D" w14:textId="77777777" w:rsidR="00070239" w:rsidRDefault="00070239" w:rsidP="002368A9">
      <w:pPr>
        <w:spacing w:after="0"/>
        <w:rPr>
          <w:i/>
        </w:rPr>
      </w:pPr>
    </w:p>
    <w:p w14:paraId="38B2F0C8" w14:textId="033110BE" w:rsidR="00C14A18" w:rsidRDefault="001A3E10" w:rsidP="002368A9">
      <w:pPr>
        <w:spacing w:after="0"/>
        <w:rPr>
          <w:i/>
        </w:rPr>
      </w:pPr>
      <w:proofErr w:type="spellStart"/>
      <w:r>
        <w:rPr>
          <w:i/>
        </w:rPr>
        <w:t>EdS</w:t>
      </w:r>
      <w:proofErr w:type="spellEnd"/>
      <w:r>
        <w:rPr>
          <w:i/>
        </w:rPr>
        <w:t xml:space="preserve"> in School Psychology</w:t>
      </w:r>
    </w:p>
    <w:p w14:paraId="2B7E1132" w14:textId="1E667532" w:rsidR="001A3E10" w:rsidRDefault="001A3E10" w:rsidP="002368A9">
      <w:pPr>
        <w:spacing w:after="0"/>
        <w:rPr>
          <w:i/>
        </w:rPr>
      </w:pPr>
    </w:p>
    <w:p w14:paraId="637A4B1B" w14:textId="77777777" w:rsidR="00820A82" w:rsidRPr="00820A82" w:rsidRDefault="00820A82" w:rsidP="00820A82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820A82">
        <w:t>Employment Rates:</w:t>
      </w:r>
    </w:p>
    <w:p w14:paraId="65A030EF" w14:textId="77777777" w:rsidR="00820A82" w:rsidRPr="00820A82" w:rsidRDefault="00820A82" w:rsidP="00820A8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TableGrid"/>
        <w:tblW w:w="748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20A82" w:rsidRPr="00820A82" w14:paraId="1ADD3A23" w14:textId="77777777" w:rsidTr="54A433D5">
        <w:tc>
          <w:tcPr>
            <w:tcW w:w="1870" w:type="dxa"/>
          </w:tcPr>
          <w:p w14:paraId="61C695C9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2020 Completers</w:t>
            </w:r>
          </w:p>
        </w:tc>
        <w:tc>
          <w:tcPr>
            <w:tcW w:w="1870" w:type="dxa"/>
          </w:tcPr>
          <w:p w14:paraId="1A6D307D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N=9</w:t>
            </w:r>
          </w:p>
        </w:tc>
        <w:tc>
          <w:tcPr>
            <w:tcW w:w="1870" w:type="dxa"/>
          </w:tcPr>
          <w:p w14:paraId="69E9F789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100% employed</w:t>
            </w:r>
          </w:p>
        </w:tc>
        <w:tc>
          <w:tcPr>
            <w:tcW w:w="1870" w:type="dxa"/>
          </w:tcPr>
          <w:p w14:paraId="4FCA3196" w14:textId="77777777" w:rsidR="00820A82" w:rsidRPr="00820A82" w:rsidRDefault="00820A82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20A82">
              <w:t>33% employed in New Mexico</w:t>
            </w:r>
          </w:p>
        </w:tc>
      </w:tr>
      <w:tr w:rsidR="00070B70" w:rsidRPr="00820A82" w14:paraId="30D262BD" w14:textId="77777777" w:rsidTr="54A433D5">
        <w:tc>
          <w:tcPr>
            <w:tcW w:w="1870" w:type="dxa"/>
          </w:tcPr>
          <w:p w14:paraId="2F88F518" w14:textId="7CB77044" w:rsidR="00070B70" w:rsidRPr="00820A82" w:rsidRDefault="00070B7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2021 Completers</w:t>
            </w:r>
          </w:p>
        </w:tc>
        <w:tc>
          <w:tcPr>
            <w:tcW w:w="1870" w:type="dxa"/>
          </w:tcPr>
          <w:p w14:paraId="342F6CAA" w14:textId="55E784E5" w:rsidR="00070B70" w:rsidRPr="00820A82" w:rsidRDefault="00070B7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 = 5</w:t>
            </w:r>
          </w:p>
        </w:tc>
        <w:tc>
          <w:tcPr>
            <w:tcW w:w="1870" w:type="dxa"/>
          </w:tcPr>
          <w:p w14:paraId="1A689286" w14:textId="1C02BFA2" w:rsidR="00070B70" w:rsidRPr="00820A82" w:rsidRDefault="00070B7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100% employed</w:t>
            </w:r>
          </w:p>
        </w:tc>
        <w:tc>
          <w:tcPr>
            <w:tcW w:w="1870" w:type="dxa"/>
          </w:tcPr>
          <w:p w14:paraId="38C9CD36" w14:textId="33FA0C03" w:rsidR="00070B70" w:rsidRPr="00820A82" w:rsidRDefault="00070B7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0% employed in New Mexico</w:t>
            </w:r>
          </w:p>
        </w:tc>
      </w:tr>
      <w:tr w:rsidR="00FD6690" w:rsidRPr="00820A82" w14:paraId="2D62C982" w14:textId="77777777" w:rsidTr="54A433D5">
        <w:tc>
          <w:tcPr>
            <w:tcW w:w="1870" w:type="dxa"/>
          </w:tcPr>
          <w:p w14:paraId="4E1821CB" w14:textId="36C49D2D" w:rsidR="00FD6690" w:rsidRDefault="00FD669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 Completers</w:t>
            </w:r>
          </w:p>
        </w:tc>
        <w:tc>
          <w:tcPr>
            <w:tcW w:w="1870" w:type="dxa"/>
          </w:tcPr>
          <w:p w14:paraId="0ED53720" w14:textId="1A41ED9B" w:rsidR="00FD6690" w:rsidRDefault="00FD669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 = 5</w:t>
            </w:r>
          </w:p>
        </w:tc>
        <w:tc>
          <w:tcPr>
            <w:tcW w:w="1870" w:type="dxa"/>
          </w:tcPr>
          <w:p w14:paraId="24B079F4" w14:textId="1D724EE6" w:rsidR="00FD6690" w:rsidRDefault="00FD669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100% Employed</w:t>
            </w:r>
          </w:p>
        </w:tc>
        <w:tc>
          <w:tcPr>
            <w:tcW w:w="1870" w:type="dxa"/>
          </w:tcPr>
          <w:p w14:paraId="21434961" w14:textId="58D5FCCF" w:rsidR="00FD6690" w:rsidRDefault="00FD6690" w:rsidP="0082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20% employed in NM</w:t>
            </w:r>
            <w:bookmarkStart w:id="0" w:name="_GoBack"/>
            <w:bookmarkEnd w:id="0"/>
          </w:p>
        </w:tc>
      </w:tr>
    </w:tbl>
    <w:p w14:paraId="0365DAA2" w14:textId="77777777" w:rsidR="00820A82" w:rsidRDefault="00820A82" w:rsidP="001A3E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D5BF8B9" w14:textId="25F7F389" w:rsidR="0048237E" w:rsidRPr="00070239" w:rsidRDefault="0048237E" w:rsidP="001A3E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070239">
        <w:rPr>
          <w:i/>
        </w:rPr>
        <w:t>Teachers of Students with Visual Impairments</w:t>
      </w:r>
    </w:p>
    <w:p w14:paraId="34468F5C" w14:textId="11F685EE" w:rsidR="0048237E" w:rsidRDefault="0048237E" w:rsidP="001A3E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7ECEA1" w14:textId="41A9758D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Since its inception in 2003, the VIP has produced 101 educational professionals trained in blindness and visual impairment. (The status of 17 practitioners is unknown, and 2 prematurely left the profession—2%.) 85 of these 101 have worked in the capacity for which they were trained (84%) for an average of 6 years. The specific years of experience break down as follows:</w:t>
      </w:r>
    </w:p>
    <w:p w14:paraId="1D0F6AA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C9C7DD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Been in the profession for 0-2 years: 21 (25%)</w:t>
      </w:r>
    </w:p>
    <w:p w14:paraId="0E0526C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3-5 years: 17 (20%)</w:t>
      </w:r>
    </w:p>
    <w:p w14:paraId="76AE652E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6-9 years: 21 (25%)</w:t>
      </w:r>
    </w:p>
    <w:p w14:paraId="1B6C8655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Been in the profession for 10-13 years: 26 (30%)</w:t>
      </w:r>
    </w:p>
    <w:p w14:paraId="2D6A1EA8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14:paraId="5B26DA36" w14:textId="77777777" w:rsidR="0048237E" w:rsidRDefault="0048237E" w:rsidP="0048237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Forty one percent of these 85 alumni have also reached these additional employment milestones:</w:t>
      </w:r>
    </w:p>
    <w:p w14:paraId="7C8E38E2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Retirement: 14</w:t>
      </w:r>
    </w:p>
    <w:p w14:paraId="77292C2F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Administration: 7</w:t>
      </w:r>
    </w:p>
    <w:p w14:paraId="01911179" w14:textId="77777777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Instructional Lead Teachers: 10</w:t>
      </w:r>
    </w:p>
    <w:p w14:paraId="397CB635" w14:textId="3557EEF4" w:rsidR="0048237E" w:rsidRDefault="0048237E" w:rsidP="004823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Independent Contractors: 4</w:t>
      </w:r>
    </w:p>
    <w:p w14:paraId="5BAAC452" w14:textId="77777777" w:rsidR="001A3E10" w:rsidRPr="001A3E10" w:rsidRDefault="001A3E10" w:rsidP="002368A9">
      <w:pPr>
        <w:spacing w:after="0"/>
      </w:pPr>
    </w:p>
    <w:sectPr w:rsidR="001A3E10" w:rsidRPr="001A3E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712C" w14:textId="77777777" w:rsidR="00440727" w:rsidRDefault="00440727" w:rsidP="00804A7C">
      <w:pPr>
        <w:spacing w:after="0" w:line="240" w:lineRule="auto"/>
      </w:pPr>
      <w:r>
        <w:separator/>
      </w:r>
    </w:p>
  </w:endnote>
  <w:endnote w:type="continuationSeparator" w:id="0">
    <w:p w14:paraId="64888438" w14:textId="77777777" w:rsidR="00440727" w:rsidRDefault="00440727" w:rsidP="008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1887" w14:textId="77777777" w:rsidR="00440727" w:rsidRDefault="00440727" w:rsidP="00804A7C">
      <w:pPr>
        <w:spacing w:after="0" w:line="240" w:lineRule="auto"/>
      </w:pPr>
      <w:r>
        <w:separator/>
      </w:r>
    </w:p>
  </w:footnote>
  <w:footnote w:type="continuationSeparator" w:id="0">
    <w:p w14:paraId="056B05B7" w14:textId="77777777" w:rsidR="00440727" w:rsidRDefault="00440727" w:rsidP="0080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71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C189D3" w14:textId="0FF6056F" w:rsidR="00804A7C" w:rsidRDefault="003923B3" w:rsidP="003923B3">
        <w:pPr>
          <w:pStyle w:val="Header"/>
        </w:pPr>
        <w:r>
          <w:tab/>
        </w:r>
      </w:p>
    </w:sdtContent>
  </w:sdt>
  <w:p w14:paraId="62D161CB" w14:textId="77777777" w:rsidR="00804A7C" w:rsidRDefault="00804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05B4"/>
    <w:multiLevelType w:val="hybridMultilevel"/>
    <w:tmpl w:val="08DC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2"/>
    <w:rsid w:val="00070239"/>
    <w:rsid w:val="00070B70"/>
    <w:rsid w:val="000C4A0A"/>
    <w:rsid w:val="000F2584"/>
    <w:rsid w:val="00103810"/>
    <w:rsid w:val="0017091E"/>
    <w:rsid w:val="001A3E10"/>
    <w:rsid w:val="001C3A4E"/>
    <w:rsid w:val="002368A9"/>
    <w:rsid w:val="0028478F"/>
    <w:rsid w:val="0030387F"/>
    <w:rsid w:val="003923B3"/>
    <w:rsid w:val="003A4A6D"/>
    <w:rsid w:val="003E4889"/>
    <w:rsid w:val="0042715A"/>
    <w:rsid w:val="0043423B"/>
    <w:rsid w:val="00440727"/>
    <w:rsid w:val="0048237E"/>
    <w:rsid w:val="00596EC5"/>
    <w:rsid w:val="0068017C"/>
    <w:rsid w:val="006A353F"/>
    <w:rsid w:val="006A4F02"/>
    <w:rsid w:val="00771C13"/>
    <w:rsid w:val="007D15AD"/>
    <w:rsid w:val="00804A7C"/>
    <w:rsid w:val="00810882"/>
    <w:rsid w:val="00820A82"/>
    <w:rsid w:val="00896D0A"/>
    <w:rsid w:val="008C4B12"/>
    <w:rsid w:val="00912706"/>
    <w:rsid w:val="009629B4"/>
    <w:rsid w:val="009E4792"/>
    <w:rsid w:val="009F6E02"/>
    <w:rsid w:val="00AA2471"/>
    <w:rsid w:val="00AB3FD7"/>
    <w:rsid w:val="00AC5873"/>
    <w:rsid w:val="00AE55A3"/>
    <w:rsid w:val="00B04F52"/>
    <w:rsid w:val="00BD2DD0"/>
    <w:rsid w:val="00C14A18"/>
    <w:rsid w:val="00CB0E50"/>
    <w:rsid w:val="00D2656B"/>
    <w:rsid w:val="00D87533"/>
    <w:rsid w:val="00D87CD3"/>
    <w:rsid w:val="00EB374A"/>
    <w:rsid w:val="00FB3671"/>
    <w:rsid w:val="00FD0EB2"/>
    <w:rsid w:val="00FD6690"/>
    <w:rsid w:val="54A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706"/>
  <w15:chartTrackingRefBased/>
  <w15:docId w15:val="{7ED78FA5-58E0-4C56-9DA7-342BBFD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7C"/>
  </w:style>
  <w:style w:type="paragraph" w:styleId="Footer">
    <w:name w:val="footer"/>
    <w:basedOn w:val="Normal"/>
    <w:link w:val="FooterChar"/>
    <w:uiPriority w:val="99"/>
    <w:unhideWhenUsed/>
    <w:rsid w:val="0080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7C"/>
  </w:style>
  <w:style w:type="table" w:styleId="TableGrid">
    <w:name w:val="Table Grid"/>
    <w:basedOn w:val="TableNormal"/>
    <w:uiPriority w:val="39"/>
    <w:rsid w:val="0039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05EB"/>
    <w:rsid w:val="00445073"/>
    <w:rsid w:val="006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77F1-0CC0-428A-B45C-7CF6B61A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New Mexico State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Boren</dc:creator>
  <cp:keywords/>
  <dc:description/>
  <cp:lastModifiedBy>Rachel Boren</cp:lastModifiedBy>
  <cp:revision>6</cp:revision>
  <dcterms:created xsi:type="dcterms:W3CDTF">2022-07-27T20:08:00Z</dcterms:created>
  <dcterms:modified xsi:type="dcterms:W3CDTF">2023-02-07T18:09:00Z</dcterms:modified>
</cp:coreProperties>
</file>