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03" w:rsidRDefault="00CA52A6" w:rsidP="00614E03">
      <w:pPr>
        <w:jc w:val="center"/>
      </w:pPr>
      <w:r>
        <w:rPr>
          <w:rFonts w:cs="Times New Roman"/>
          <w:b/>
          <w:noProof/>
        </w:rPr>
        <w:t>Measure 1: Completer Effectiveness and Impact on P-12 Learning and Development</w:t>
      </w:r>
    </w:p>
    <w:p w:rsidR="008D543D" w:rsidRDefault="00361160" w:rsidP="008D543D">
      <w:pPr>
        <w:spacing w:after="0" w:line="240" w:lineRule="auto"/>
      </w:pPr>
      <w:r>
        <w:t xml:space="preserve">The </w:t>
      </w:r>
      <w:proofErr w:type="spellStart"/>
      <w:r>
        <w:t>NMTeach</w:t>
      </w:r>
      <w:proofErr w:type="spellEnd"/>
      <w:r w:rsidR="008D543D" w:rsidRPr="00286762">
        <w:t xml:space="preserve"> framework</w:t>
      </w:r>
      <w:r>
        <w:t xml:space="preserve"> and final effectiveness score is based on</w:t>
      </w:r>
      <w:r w:rsidR="008D543D" w:rsidRPr="00286762">
        <w:t xml:space="preserve"> multi</w:t>
      </w:r>
      <w:r>
        <w:t xml:space="preserve">ple measures, and teachers are categorized as </w:t>
      </w:r>
      <w:r w:rsidR="008D543D" w:rsidRPr="00F64231">
        <w:t>Ineffective, Minimally Effective, Effective, Highly Effective, or Exemplary based on the following sources of data</w:t>
      </w:r>
      <w:r w:rsidR="008D543D">
        <w:t>:</w:t>
      </w:r>
      <w:r w:rsidR="008D543D" w:rsidRPr="00F64231">
        <w:t xml:space="preserve"> </w:t>
      </w:r>
    </w:p>
    <w:p w:rsidR="00361160" w:rsidRDefault="00361160" w:rsidP="008D543D">
      <w:pPr>
        <w:spacing w:after="0" w:line="240" w:lineRule="auto"/>
      </w:pPr>
    </w:p>
    <w:p w:rsidR="008D543D" w:rsidRPr="00F14744" w:rsidRDefault="008D543D" w:rsidP="008D543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Pr="00F14744">
        <w:rPr>
          <w:rFonts w:cstheme="minorHAnsi"/>
        </w:rPr>
        <w:t>tudent and parent surveys about teacher effectiveness</w:t>
      </w:r>
    </w:p>
    <w:p w:rsidR="008D543D" w:rsidRPr="00286762" w:rsidRDefault="008D543D" w:rsidP="008D543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 w:rsidRPr="00286762">
        <w:t xml:space="preserve">Trained observers scores of </w:t>
      </w:r>
      <w:r>
        <w:t>NMTEACH</w:t>
      </w:r>
      <w:r w:rsidRPr="00286762">
        <w:t xml:space="preserve"> domains based on classroom observations, done two to three times per year, and discussed with the teacher to identify what went well and what needs improvement</w:t>
      </w:r>
    </w:p>
    <w:p w:rsidR="008D543D" w:rsidRPr="00286762" w:rsidRDefault="008D543D" w:rsidP="008D543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 w:rsidRPr="00286762">
        <w:t xml:space="preserve">Planning, preparation, and professionalism scores on </w:t>
      </w:r>
      <w:r>
        <w:t>NMTEACH</w:t>
      </w:r>
      <w:r w:rsidRPr="00286762">
        <w:t xml:space="preserve"> rubrics</w:t>
      </w:r>
    </w:p>
    <w:p w:rsidR="008D543D" w:rsidRPr="00286762" w:rsidRDefault="008D543D" w:rsidP="008D543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 w:rsidRPr="00286762">
        <w:t>Student achievement data (standardized state tests) that is analyzed using a value-added model</w:t>
      </w:r>
    </w:p>
    <w:p w:rsidR="008D543D" w:rsidRDefault="008D543D" w:rsidP="008D543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</w:pPr>
      <w:r w:rsidRPr="00286762">
        <w:t>Teacher attendance</w:t>
      </w:r>
    </w:p>
    <w:p w:rsidR="00CA52A6" w:rsidRDefault="00CA52A6" w:rsidP="00CA52A6">
      <w:pPr>
        <w:widowControl w:val="0"/>
        <w:autoSpaceDE w:val="0"/>
        <w:autoSpaceDN w:val="0"/>
        <w:spacing w:after="0" w:line="240" w:lineRule="auto"/>
      </w:pPr>
    </w:p>
    <w:p w:rsidR="008D543D" w:rsidRPr="00286762" w:rsidRDefault="00CA52A6" w:rsidP="00CA52A6">
      <w:pPr>
        <w:widowControl w:val="0"/>
        <w:autoSpaceDE w:val="0"/>
        <w:autoSpaceDN w:val="0"/>
        <w:spacing w:after="0" w:line="240" w:lineRule="auto"/>
      </w:pPr>
      <w:r>
        <w:t>The following table presents initial teacher program effectiveness ratings provided by the New Mexico Public Education Department for the corresponding cohorts:</w:t>
      </w:r>
    </w:p>
    <w:p w:rsidR="00355638" w:rsidRPr="003E6AD3" w:rsidRDefault="00355638" w:rsidP="007B0B50">
      <w:pPr>
        <w:spacing w:after="0" w:line="240" w:lineRule="auto"/>
      </w:pPr>
    </w:p>
    <w:tbl>
      <w:tblPr>
        <w:tblStyle w:val="TableGrid"/>
        <w:tblW w:w="9576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353"/>
        <w:gridCol w:w="1207"/>
        <w:gridCol w:w="1207"/>
        <w:gridCol w:w="1207"/>
        <w:gridCol w:w="1207"/>
        <w:gridCol w:w="1208"/>
        <w:gridCol w:w="912"/>
      </w:tblGrid>
      <w:tr w:rsidR="00A24155" w:rsidRPr="00A24155" w:rsidTr="003E6AD3">
        <w:trPr>
          <w:trHeight w:val="300"/>
          <w:jc w:val="center"/>
        </w:trPr>
        <w:tc>
          <w:tcPr>
            <w:tcW w:w="1275" w:type="dxa"/>
            <w:vMerge w:val="restart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Program</w:t>
            </w:r>
          </w:p>
        </w:tc>
        <w:tc>
          <w:tcPr>
            <w:tcW w:w="1353" w:type="dxa"/>
            <w:vMerge w:val="restart"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Academic Year of TEP Completion</w:t>
            </w:r>
          </w:p>
        </w:tc>
        <w:tc>
          <w:tcPr>
            <w:tcW w:w="6036" w:type="dxa"/>
            <w:gridSpan w:val="5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Effectiveness Rating Frequency</w:t>
            </w:r>
          </w:p>
        </w:tc>
        <w:tc>
          <w:tcPr>
            <w:tcW w:w="912" w:type="dxa"/>
            <w:vMerge w:val="restart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Total</w:t>
            </w:r>
          </w:p>
        </w:tc>
      </w:tr>
      <w:tr w:rsidR="00A24155" w:rsidRPr="00A24155" w:rsidTr="003E6AD3">
        <w:trPr>
          <w:trHeight w:val="615"/>
          <w:jc w:val="center"/>
        </w:trPr>
        <w:tc>
          <w:tcPr>
            <w:tcW w:w="1275" w:type="dxa"/>
            <w:vMerge/>
            <w:tcBorders>
              <w:bottom w:val="single" w:sz="4" w:space="0" w:color="auto"/>
            </w:tcBorders>
            <w:hideMark/>
          </w:tcPr>
          <w:p w:rsidR="00A24155" w:rsidRPr="00A24155" w:rsidRDefault="00A24155">
            <w:pPr>
              <w:rPr>
                <w:b/>
                <w:bCs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  <w:hideMark/>
          </w:tcPr>
          <w:p w:rsidR="00A24155" w:rsidRPr="00A24155" w:rsidRDefault="00A24155">
            <w:pPr>
              <w:rPr>
                <w:b/>
                <w:bCs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Ineffective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Minimally Effective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Effective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Highly Effective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Exemplary</w:t>
            </w:r>
          </w:p>
        </w:tc>
        <w:tc>
          <w:tcPr>
            <w:tcW w:w="912" w:type="dxa"/>
            <w:vMerge/>
            <w:tcBorders>
              <w:bottom w:val="single" w:sz="4" w:space="0" w:color="auto"/>
            </w:tcBorders>
            <w:hideMark/>
          </w:tcPr>
          <w:p w:rsidR="00A24155" w:rsidRPr="00A24155" w:rsidRDefault="00A24155">
            <w:pPr>
              <w:rPr>
                <w:b/>
                <w:bCs/>
              </w:rPr>
            </w:pPr>
          </w:p>
        </w:tc>
      </w:tr>
      <w:tr w:rsidR="00A24155" w:rsidRPr="00A24155" w:rsidTr="003E6AD3">
        <w:trPr>
          <w:trHeight w:val="300"/>
          <w:jc w:val="center"/>
        </w:trPr>
        <w:tc>
          <w:tcPr>
            <w:tcW w:w="127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Early Childhood</w:t>
            </w: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14-15 AY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50%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40%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10%</w:t>
            </w:r>
          </w:p>
        </w:tc>
        <w:tc>
          <w:tcPr>
            <w:tcW w:w="1208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912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3E6AD3">
        <w:trPr>
          <w:trHeight w:val="300"/>
          <w:jc w:val="center"/>
        </w:trPr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15-16 AY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50%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25%</w:t>
            </w:r>
          </w:p>
        </w:tc>
        <w:tc>
          <w:tcPr>
            <w:tcW w:w="1208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25%</w:t>
            </w:r>
          </w:p>
        </w:tc>
        <w:tc>
          <w:tcPr>
            <w:tcW w:w="912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915524">
        <w:trPr>
          <w:trHeight w:val="315"/>
          <w:jc w:val="center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16-17 AY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0%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40%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60%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0%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0%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3E6AD3">
        <w:trPr>
          <w:trHeight w:val="30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Elementary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14-15 AY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5%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34%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37%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20%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5%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3E6AD3">
        <w:trPr>
          <w:trHeight w:val="300"/>
          <w:jc w:val="center"/>
        </w:trPr>
        <w:tc>
          <w:tcPr>
            <w:tcW w:w="1275" w:type="dxa"/>
            <w:vMerge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</w:p>
        </w:tc>
        <w:tc>
          <w:tcPr>
            <w:tcW w:w="1353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15-16 AY</w:t>
            </w:r>
          </w:p>
        </w:tc>
        <w:tc>
          <w:tcPr>
            <w:tcW w:w="1207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1207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43%</w:t>
            </w:r>
          </w:p>
        </w:tc>
        <w:tc>
          <w:tcPr>
            <w:tcW w:w="1207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43%</w:t>
            </w:r>
          </w:p>
        </w:tc>
        <w:tc>
          <w:tcPr>
            <w:tcW w:w="1207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14%</w:t>
            </w:r>
          </w:p>
        </w:tc>
        <w:tc>
          <w:tcPr>
            <w:tcW w:w="1208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912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915524">
        <w:trPr>
          <w:trHeight w:val="315"/>
          <w:jc w:val="center"/>
        </w:trPr>
        <w:tc>
          <w:tcPr>
            <w:tcW w:w="1275" w:type="dxa"/>
            <w:vMerge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</w:p>
        </w:tc>
        <w:tc>
          <w:tcPr>
            <w:tcW w:w="1353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16-17 AY</w:t>
            </w:r>
          </w:p>
        </w:tc>
        <w:tc>
          <w:tcPr>
            <w:tcW w:w="1207" w:type="dxa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6%</w:t>
            </w:r>
          </w:p>
        </w:tc>
        <w:tc>
          <w:tcPr>
            <w:tcW w:w="1207" w:type="dxa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50%</w:t>
            </w:r>
          </w:p>
        </w:tc>
        <w:tc>
          <w:tcPr>
            <w:tcW w:w="1207" w:type="dxa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25%</w:t>
            </w:r>
          </w:p>
        </w:tc>
        <w:tc>
          <w:tcPr>
            <w:tcW w:w="1207" w:type="dxa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19%</w:t>
            </w:r>
          </w:p>
        </w:tc>
        <w:tc>
          <w:tcPr>
            <w:tcW w:w="1208" w:type="dxa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0%</w:t>
            </w:r>
          </w:p>
        </w:tc>
        <w:tc>
          <w:tcPr>
            <w:tcW w:w="912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3E6AD3">
        <w:trPr>
          <w:trHeight w:val="300"/>
          <w:jc w:val="center"/>
        </w:trPr>
        <w:tc>
          <w:tcPr>
            <w:tcW w:w="127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Secondary</w:t>
            </w: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14-15 AY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33%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33%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33%</w:t>
            </w:r>
          </w:p>
        </w:tc>
        <w:tc>
          <w:tcPr>
            <w:tcW w:w="1208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912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3E6AD3">
        <w:trPr>
          <w:trHeight w:val="300"/>
          <w:jc w:val="center"/>
        </w:trPr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15-16 AY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17%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33%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33%</w:t>
            </w:r>
          </w:p>
        </w:tc>
        <w:tc>
          <w:tcPr>
            <w:tcW w:w="1208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17%</w:t>
            </w:r>
          </w:p>
        </w:tc>
        <w:tc>
          <w:tcPr>
            <w:tcW w:w="912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915524">
        <w:trPr>
          <w:trHeight w:val="315"/>
          <w:jc w:val="center"/>
        </w:trPr>
        <w:tc>
          <w:tcPr>
            <w:tcW w:w="1275" w:type="dxa"/>
            <w:vMerge/>
            <w:shd w:val="clear" w:color="auto" w:fill="D9D9D9" w:themeFill="background1" w:themeFillShade="D9"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16-17 AY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39%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46%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15%</w:t>
            </w:r>
          </w:p>
        </w:tc>
        <w:tc>
          <w:tcPr>
            <w:tcW w:w="1208" w:type="dxa"/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0%</w:t>
            </w:r>
          </w:p>
        </w:tc>
        <w:tc>
          <w:tcPr>
            <w:tcW w:w="912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3E6AD3">
        <w:trPr>
          <w:trHeight w:val="300"/>
          <w:jc w:val="center"/>
        </w:trPr>
        <w:tc>
          <w:tcPr>
            <w:tcW w:w="1275" w:type="dxa"/>
            <w:vMerge w:val="restart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Special Education</w:t>
            </w:r>
          </w:p>
        </w:tc>
        <w:tc>
          <w:tcPr>
            <w:tcW w:w="1353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14-15 AY</w:t>
            </w:r>
          </w:p>
        </w:tc>
        <w:tc>
          <w:tcPr>
            <w:tcW w:w="1207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1207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29%</w:t>
            </w:r>
          </w:p>
        </w:tc>
        <w:tc>
          <w:tcPr>
            <w:tcW w:w="1207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57%</w:t>
            </w:r>
          </w:p>
        </w:tc>
        <w:tc>
          <w:tcPr>
            <w:tcW w:w="1207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14%</w:t>
            </w:r>
          </w:p>
        </w:tc>
        <w:tc>
          <w:tcPr>
            <w:tcW w:w="1208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912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3E6AD3">
        <w:trPr>
          <w:trHeight w:val="300"/>
          <w:jc w:val="center"/>
        </w:trPr>
        <w:tc>
          <w:tcPr>
            <w:tcW w:w="1275" w:type="dxa"/>
            <w:vMerge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</w:p>
        </w:tc>
        <w:tc>
          <w:tcPr>
            <w:tcW w:w="1353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15-16 AY</w:t>
            </w:r>
          </w:p>
        </w:tc>
        <w:tc>
          <w:tcPr>
            <w:tcW w:w="1207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1207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20%</w:t>
            </w:r>
          </w:p>
        </w:tc>
        <w:tc>
          <w:tcPr>
            <w:tcW w:w="1207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80%</w:t>
            </w:r>
          </w:p>
        </w:tc>
        <w:tc>
          <w:tcPr>
            <w:tcW w:w="1207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1208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912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915524">
        <w:trPr>
          <w:trHeight w:val="315"/>
          <w:jc w:val="center"/>
        </w:trPr>
        <w:tc>
          <w:tcPr>
            <w:tcW w:w="1275" w:type="dxa"/>
            <w:vMerge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</w:p>
        </w:tc>
        <w:tc>
          <w:tcPr>
            <w:tcW w:w="1353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16-17 AY</w:t>
            </w:r>
          </w:p>
        </w:tc>
        <w:tc>
          <w:tcPr>
            <w:tcW w:w="1207" w:type="dxa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0%</w:t>
            </w:r>
          </w:p>
        </w:tc>
        <w:tc>
          <w:tcPr>
            <w:tcW w:w="1207" w:type="dxa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50%</w:t>
            </w:r>
          </w:p>
        </w:tc>
        <w:tc>
          <w:tcPr>
            <w:tcW w:w="1207" w:type="dxa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30%</w:t>
            </w:r>
          </w:p>
        </w:tc>
        <w:tc>
          <w:tcPr>
            <w:tcW w:w="1207" w:type="dxa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20%</w:t>
            </w:r>
          </w:p>
        </w:tc>
        <w:tc>
          <w:tcPr>
            <w:tcW w:w="1208" w:type="dxa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0%</w:t>
            </w:r>
          </w:p>
        </w:tc>
        <w:tc>
          <w:tcPr>
            <w:tcW w:w="912" w:type="dxa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3E6AD3">
        <w:trPr>
          <w:trHeight w:val="300"/>
          <w:jc w:val="center"/>
        </w:trPr>
        <w:tc>
          <w:tcPr>
            <w:tcW w:w="127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  <w:rPr>
                <w:b/>
                <w:bCs/>
              </w:rPr>
            </w:pPr>
            <w:r w:rsidRPr="00A24155">
              <w:rPr>
                <w:b/>
                <w:bCs/>
              </w:rPr>
              <w:t>Other TPPs</w:t>
            </w: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14-15 AY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43%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57%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1208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912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3E6AD3">
        <w:trPr>
          <w:trHeight w:val="300"/>
          <w:jc w:val="center"/>
        </w:trPr>
        <w:tc>
          <w:tcPr>
            <w:tcW w:w="1275" w:type="dxa"/>
            <w:vMerge/>
            <w:shd w:val="clear" w:color="auto" w:fill="D9D9D9" w:themeFill="background1" w:themeFillShade="D9"/>
            <w:hideMark/>
          </w:tcPr>
          <w:p w:rsidR="00A24155" w:rsidRPr="00A24155" w:rsidRDefault="00A24155">
            <w:pPr>
              <w:rPr>
                <w:b/>
                <w:bCs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15-16 AY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11%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11%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67%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0%</w:t>
            </w:r>
          </w:p>
        </w:tc>
        <w:tc>
          <w:tcPr>
            <w:tcW w:w="1208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11%</w:t>
            </w:r>
          </w:p>
        </w:tc>
        <w:tc>
          <w:tcPr>
            <w:tcW w:w="912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  <w:tr w:rsidR="00A24155" w:rsidRPr="00A24155" w:rsidTr="00915524">
        <w:trPr>
          <w:trHeight w:val="315"/>
          <w:jc w:val="center"/>
        </w:trPr>
        <w:tc>
          <w:tcPr>
            <w:tcW w:w="1275" w:type="dxa"/>
            <w:vMerge/>
            <w:shd w:val="clear" w:color="auto" w:fill="D9D9D9" w:themeFill="background1" w:themeFillShade="D9"/>
            <w:hideMark/>
          </w:tcPr>
          <w:p w:rsidR="00A24155" w:rsidRPr="00A24155" w:rsidRDefault="00A24155">
            <w:pPr>
              <w:rPr>
                <w:b/>
                <w:bCs/>
              </w:rPr>
            </w:pPr>
          </w:p>
        </w:tc>
        <w:tc>
          <w:tcPr>
            <w:tcW w:w="1353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16-17 AY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13%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50%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37%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0%</w:t>
            </w:r>
          </w:p>
        </w:tc>
        <w:tc>
          <w:tcPr>
            <w:tcW w:w="1208" w:type="dxa"/>
            <w:shd w:val="clear" w:color="auto" w:fill="D9D9D9" w:themeFill="background1" w:themeFillShade="D9"/>
            <w:noWrap/>
            <w:vAlign w:val="center"/>
          </w:tcPr>
          <w:p w:rsidR="00A24155" w:rsidRPr="00A24155" w:rsidRDefault="00915524" w:rsidP="00A24155">
            <w:pPr>
              <w:jc w:val="center"/>
            </w:pPr>
            <w:r>
              <w:t>0%</w:t>
            </w:r>
          </w:p>
        </w:tc>
        <w:tc>
          <w:tcPr>
            <w:tcW w:w="912" w:type="dxa"/>
            <w:shd w:val="clear" w:color="auto" w:fill="D9D9D9" w:themeFill="background1" w:themeFillShade="D9"/>
            <w:noWrap/>
            <w:vAlign w:val="center"/>
            <w:hideMark/>
          </w:tcPr>
          <w:p w:rsidR="00A24155" w:rsidRPr="00A24155" w:rsidRDefault="00A24155" w:rsidP="00A24155">
            <w:pPr>
              <w:jc w:val="center"/>
            </w:pPr>
            <w:r w:rsidRPr="00A24155">
              <w:t>100%</w:t>
            </w:r>
          </w:p>
        </w:tc>
      </w:tr>
    </w:tbl>
    <w:p w:rsidR="00A24155" w:rsidRDefault="00A24155" w:rsidP="0021327C">
      <w:pPr>
        <w:spacing w:after="0"/>
      </w:pPr>
    </w:p>
    <w:p w:rsidR="005A5855" w:rsidRDefault="005466F9" w:rsidP="0021327C">
      <w:pPr>
        <w:spacing w:after="0"/>
      </w:pPr>
      <w:bookmarkStart w:id="0" w:name="_GoBack"/>
      <w:bookmarkEnd w:id="0"/>
      <w:r>
        <w:t>The table below shows the portion of our completers working in schools that had the designated percentage of free or reduced price lunch eligible students or those classified as minorities.</w:t>
      </w:r>
    </w:p>
    <w:p w:rsidR="0021327C" w:rsidRDefault="0021327C" w:rsidP="0021327C">
      <w:pPr>
        <w:spacing w:after="0" w:line="240" w:lineRule="auto"/>
        <w:jc w:val="center"/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4495"/>
        <w:gridCol w:w="900"/>
        <w:gridCol w:w="990"/>
        <w:gridCol w:w="990"/>
        <w:gridCol w:w="1080"/>
        <w:gridCol w:w="900"/>
      </w:tblGrid>
      <w:tr w:rsidR="0021327C" w:rsidRPr="000314F0" w:rsidTr="005A5855">
        <w:trPr>
          <w:trHeight w:val="300"/>
          <w:jc w:val="center"/>
        </w:trPr>
        <w:tc>
          <w:tcPr>
            <w:tcW w:w="4495" w:type="dxa"/>
            <w:vMerge w:val="restart"/>
            <w:vAlign w:val="center"/>
            <w:hideMark/>
          </w:tcPr>
          <w:p w:rsidR="0021327C" w:rsidRPr="005466F9" w:rsidRDefault="0021327C" w:rsidP="00E04761">
            <w:pPr>
              <w:jc w:val="center"/>
              <w:rPr>
                <w:b/>
              </w:rPr>
            </w:pPr>
          </w:p>
        </w:tc>
        <w:tc>
          <w:tcPr>
            <w:tcW w:w="4860" w:type="dxa"/>
            <w:gridSpan w:val="5"/>
            <w:vAlign w:val="center"/>
            <w:hideMark/>
          </w:tcPr>
          <w:p w:rsidR="0021327C" w:rsidRPr="005466F9" w:rsidRDefault="005466F9" w:rsidP="00E04761">
            <w:pPr>
              <w:jc w:val="center"/>
              <w:rPr>
                <w:b/>
              </w:rPr>
            </w:pPr>
            <w:r w:rsidRPr="005466F9">
              <w:rPr>
                <w:b/>
              </w:rPr>
              <w:t>Percentage of Population in School</w:t>
            </w:r>
          </w:p>
        </w:tc>
      </w:tr>
      <w:tr w:rsidR="0021327C" w:rsidRPr="000314F0" w:rsidTr="005A5855">
        <w:trPr>
          <w:trHeight w:val="134"/>
          <w:jc w:val="center"/>
        </w:trPr>
        <w:tc>
          <w:tcPr>
            <w:tcW w:w="4495" w:type="dxa"/>
            <w:vMerge/>
            <w:vAlign w:val="center"/>
            <w:hideMark/>
          </w:tcPr>
          <w:p w:rsidR="0021327C" w:rsidRPr="005466F9" w:rsidRDefault="0021327C" w:rsidP="00E04761">
            <w:pPr>
              <w:jc w:val="center"/>
              <w:rPr>
                <w:b/>
              </w:rPr>
            </w:pPr>
          </w:p>
        </w:tc>
        <w:tc>
          <w:tcPr>
            <w:tcW w:w="900" w:type="dxa"/>
            <w:noWrap/>
            <w:vAlign w:val="center"/>
            <w:hideMark/>
          </w:tcPr>
          <w:p w:rsidR="0021327C" w:rsidRPr="005466F9" w:rsidRDefault="0021327C" w:rsidP="00E04761">
            <w:pPr>
              <w:jc w:val="center"/>
              <w:rPr>
                <w:b/>
              </w:rPr>
            </w:pPr>
            <w:r w:rsidRPr="005466F9">
              <w:rPr>
                <w:b/>
              </w:rPr>
              <w:t>0-24%</w:t>
            </w:r>
          </w:p>
        </w:tc>
        <w:tc>
          <w:tcPr>
            <w:tcW w:w="990" w:type="dxa"/>
            <w:noWrap/>
            <w:vAlign w:val="center"/>
            <w:hideMark/>
          </w:tcPr>
          <w:p w:rsidR="0021327C" w:rsidRPr="005466F9" w:rsidRDefault="0021327C" w:rsidP="00E04761">
            <w:pPr>
              <w:jc w:val="center"/>
              <w:rPr>
                <w:b/>
              </w:rPr>
            </w:pPr>
            <w:r w:rsidRPr="005466F9">
              <w:rPr>
                <w:b/>
              </w:rPr>
              <w:t>25-49%</w:t>
            </w:r>
          </w:p>
        </w:tc>
        <w:tc>
          <w:tcPr>
            <w:tcW w:w="990" w:type="dxa"/>
            <w:noWrap/>
            <w:vAlign w:val="center"/>
            <w:hideMark/>
          </w:tcPr>
          <w:p w:rsidR="0021327C" w:rsidRPr="005466F9" w:rsidRDefault="0021327C" w:rsidP="00E04761">
            <w:pPr>
              <w:jc w:val="center"/>
              <w:rPr>
                <w:b/>
              </w:rPr>
            </w:pPr>
            <w:r w:rsidRPr="005466F9">
              <w:rPr>
                <w:b/>
              </w:rPr>
              <w:t>50-74%</w:t>
            </w:r>
          </w:p>
        </w:tc>
        <w:tc>
          <w:tcPr>
            <w:tcW w:w="1080" w:type="dxa"/>
            <w:noWrap/>
            <w:vAlign w:val="center"/>
            <w:hideMark/>
          </w:tcPr>
          <w:p w:rsidR="0021327C" w:rsidRPr="005466F9" w:rsidRDefault="0021327C" w:rsidP="00E04761">
            <w:pPr>
              <w:jc w:val="center"/>
              <w:rPr>
                <w:b/>
              </w:rPr>
            </w:pPr>
            <w:r w:rsidRPr="005466F9">
              <w:rPr>
                <w:b/>
              </w:rPr>
              <w:t>75-100%</w:t>
            </w:r>
          </w:p>
        </w:tc>
        <w:tc>
          <w:tcPr>
            <w:tcW w:w="900" w:type="dxa"/>
            <w:noWrap/>
            <w:vAlign w:val="center"/>
            <w:hideMark/>
          </w:tcPr>
          <w:p w:rsidR="0021327C" w:rsidRPr="005466F9" w:rsidRDefault="0021327C" w:rsidP="00E04761">
            <w:pPr>
              <w:jc w:val="center"/>
              <w:rPr>
                <w:b/>
              </w:rPr>
            </w:pPr>
            <w:r w:rsidRPr="005466F9">
              <w:rPr>
                <w:b/>
              </w:rPr>
              <w:t>Total</w:t>
            </w:r>
          </w:p>
        </w:tc>
      </w:tr>
      <w:tr w:rsidR="0021327C" w:rsidRPr="000314F0" w:rsidTr="005A5855">
        <w:trPr>
          <w:trHeight w:val="300"/>
          <w:jc w:val="center"/>
        </w:trPr>
        <w:tc>
          <w:tcPr>
            <w:tcW w:w="4495" w:type="dxa"/>
            <w:noWrap/>
            <w:vAlign w:val="center"/>
            <w:hideMark/>
          </w:tcPr>
          <w:p w:rsidR="0021327C" w:rsidRPr="000314F0" w:rsidRDefault="005B0462" w:rsidP="005466F9">
            <w:pPr>
              <w:jc w:val="center"/>
            </w:pPr>
            <w:r w:rsidRPr="005B0462">
              <w:t xml:space="preserve">Free/Reduced Lunch </w:t>
            </w:r>
            <w:r w:rsidR="005466F9">
              <w:t>Eligible Students in School</w:t>
            </w:r>
          </w:p>
        </w:tc>
        <w:tc>
          <w:tcPr>
            <w:tcW w:w="900" w:type="dxa"/>
            <w:noWrap/>
            <w:vAlign w:val="center"/>
            <w:hideMark/>
          </w:tcPr>
          <w:p w:rsidR="0021327C" w:rsidRPr="000314F0" w:rsidRDefault="0021327C" w:rsidP="00E04761">
            <w:pPr>
              <w:jc w:val="center"/>
            </w:pPr>
            <w:r w:rsidRPr="000314F0">
              <w:t>3%</w:t>
            </w:r>
          </w:p>
        </w:tc>
        <w:tc>
          <w:tcPr>
            <w:tcW w:w="990" w:type="dxa"/>
            <w:noWrap/>
            <w:vAlign w:val="center"/>
            <w:hideMark/>
          </w:tcPr>
          <w:p w:rsidR="0021327C" w:rsidRPr="000314F0" w:rsidRDefault="0021327C" w:rsidP="00E04761">
            <w:pPr>
              <w:jc w:val="center"/>
            </w:pPr>
            <w:r w:rsidRPr="000314F0">
              <w:t>13%</w:t>
            </w:r>
          </w:p>
        </w:tc>
        <w:tc>
          <w:tcPr>
            <w:tcW w:w="990" w:type="dxa"/>
            <w:noWrap/>
            <w:vAlign w:val="center"/>
            <w:hideMark/>
          </w:tcPr>
          <w:p w:rsidR="0021327C" w:rsidRPr="000314F0" w:rsidRDefault="0021327C" w:rsidP="00E04761">
            <w:pPr>
              <w:jc w:val="center"/>
            </w:pPr>
            <w:r w:rsidRPr="000314F0">
              <w:t>19%</w:t>
            </w:r>
          </w:p>
        </w:tc>
        <w:tc>
          <w:tcPr>
            <w:tcW w:w="1080" w:type="dxa"/>
            <w:noWrap/>
            <w:vAlign w:val="center"/>
            <w:hideMark/>
          </w:tcPr>
          <w:p w:rsidR="0021327C" w:rsidRPr="000314F0" w:rsidRDefault="0021327C" w:rsidP="00E04761">
            <w:pPr>
              <w:jc w:val="center"/>
            </w:pPr>
            <w:r w:rsidRPr="000314F0">
              <w:t>64%</w:t>
            </w:r>
          </w:p>
        </w:tc>
        <w:tc>
          <w:tcPr>
            <w:tcW w:w="900" w:type="dxa"/>
            <w:noWrap/>
            <w:vAlign w:val="center"/>
            <w:hideMark/>
          </w:tcPr>
          <w:p w:rsidR="0021327C" w:rsidRPr="000314F0" w:rsidRDefault="0021327C" w:rsidP="00E04761">
            <w:pPr>
              <w:jc w:val="center"/>
            </w:pPr>
            <w:r w:rsidRPr="000314F0">
              <w:t>100%</w:t>
            </w:r>
          </w:p>
        </w:tc>
      </w:tr>
      <w:tr w:rsidR="005466F9" w:rsidRPr="000314F0" w:rsidTr="005A5855">
        <w:trPr>
          <w:trHeight w:val="300"/>
          <w:jc w:val="center"/>
        </w:trPr>
        <w:tc>
          <w:tcPr>
            <w:tcW w:w="4495" w:type="dxa"/>
            <w:noWrap/>
          </w:tcPr>
          <w:p w:rsidR="005466F9" w:rsidRPr="000C2F36" w:rsidRDefault="005466F9" w:rsidP="005466F9">
            <w:pPr>
              <w:jc w:val="center"/>
            </w:pPr>
            <w:r w:rsidRPr="000C2F36">
              <w:t>Minority Students in School</w:t>
            </w:r>
          </w:p>
        </w:tc>
        <w:tc>
          <w:tcPr>
            <w:tcW w:w="900" w:type="dxa"/>
            <w:noWrap/>
            <w:vAlign w:val="center"/>
          </w:tcPr>
          <w:p w:rsidR="005466F9" w:rsidRPr="000C2F36" w:rsidRDefault="005466F9" w:rsidP="005466F9">
            <w:pPr>
              <w:jc w:val="center"/>
            </w:pPr>
            <w:r w:rsidRPr="000C2F36">
              <w:t>0%</w:t>
            </w:r>
          </w:p>
        </w:tc>
        <w:tc>
          <w:tcPr>
            <w:tcW w:w="990" w:type="dxa"/>
            <w:noWrap/>
            <w:vAlign w:val="center"/>
          </w:tcPr>
          <w:p w:rsidR="005466F9" w:rsidRPr="000C2F36" w:rsidRDefault="005466F9" w:rsidP="005466F9">
            <w:pPr>
              <w:jc w:val="center"/>
            </w:pPr>
            <w:r w:rsidRPr="000C2F36">
              <w:t>8%</w:t>
            </w:r>
          </w:p>
        </w:tc>
        <w:tc>
          <w:tcPr>
            <w:tcW w:w="990" w:type="dxa"/>
            <w:noWrap/>
            <w:vAlign w:val="center"/>
          </w:tcPr>
          <w:p w:rsidR="005466F9" w:rsidRPr="000C2F36" w:rsidRDefault="005466F9" w:rsidP="005466F9">
            <w:pPr>
              <w:jc w:val="center"/>
            </w:pPr>
            <w:r w:rsidRPr="000C2F36">
              <w:t>24%</w:t>
            </w:r>
          </w:p>
        </w:tc>
        <w:tc>
          <w:tcPr>
            <w:tcW w:w="1080" w:type="dxa"/>
            <w:noWrap/>
            <w:vAlign w:val="center"/>
          </w:tcPr>
          <w:p w:rsidR="005466F9" w:rsidRPr="000C2F36" w:rsidRDefault="005466F9" w:rsidP="005466F9">
            <w:pPr>
              <w:jc w:val="center"/>
            </w:pPr>
            <w:r w:rsidRPr="000C2F36">
              <w:t>68%</w:t>
            </w:r>
          </w:p>
        </w:tc>
        <w:tc>
          <w:tcPr>
            <w:tcW w:w="900" w:type="dxa"/>
            <w:noWrap/>
            <w:vAlign w:val="center"/>
          </w:tcPr>
          <w:p w:rsidR="005466F9" w:rsidRDefault="005466F9" w:rsidP="005466F9">
            <w:pPr>
              <w:jc w:val="center"/>
            </w:pPr>
            <w:r w:rsidRPr="000C2F36">
              <w:t>100%</w:t>
            </w:r>
          </w:p>
        </w:tc>
      </w:tr>
    </w:tbl>
    <w:p w:rsidR="0021327C" w:rsidRDefault="0021327C" w:rsidP="005466F9">
      <w:pPr>
        <w:spacing w:after="0" w:line="240" w:lineRule="auto"/>
        <w:jc w:val="center"/>
      </w:pPr>
    </w:p>
    <w:sectPr w:rsidR="00213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67" w:rsidRDefault="00471667" w:rsidP="00A24155">
      <w:pPr>
        <w:spacing w:after="0" w:line="240" w:lineRule="auto"/>
      </w:pPr>
      <w:r>
        <w:separator/>
      </w:r>
    </w:p>
  </w:endnote>
  <w:endnote w:type="continuationSeparator" w:id="0">
    <w:p w:rsidR="00471667" w:rsidRDefault="00471667" w:rsidP="00A2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67" w:rsidRDefault="00471667" w:rsidP="00A24155">
      <w:pPr>
        <w:spacing w:after="0" w:line="240" w:lineRule="auto"/>
      </w:pPr>
      <w:r>
        <w:separator/>
      </w:r>
    </w:p>
  </w:footnote>
  <w:footnote w:type="continuationSeparator" w:id="0">
    <w:p w:rsidR="00471667" w:rsidRDefault="00471667" w:rsidP="00A2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784"/>
    <w:multiLevelType w:val="hybridMultilevel"/>
    <w:tmpl w:val="7AF46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F1A85"/>
    <w:multiLevelType w:val="hybridMultilevel"/>
    <w:tmpl w:val="2D4A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D29C4"/>
    <w:multiLevelType w:val="hybridMultilevel"/>
    <w:tmpl w:val="75FA9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55"/>
    <w:rsid w:val="000314F0"/>
    <w:rsid w:val="0021327C"/>
    <w:rsid w:val="0021403A"/>
    <w:rsid w:val="00355638"/>
    <w:rsid w:val="00361160"/>
    <w:rsid w:val="003927A8"/>
    <w:rsid w:val="003E6AD3"/>
    <w:rsid w:val="00471667"/>
    <w:rsid w:val="005466F9"/>
    <w:rsid w:val="00546705"/>
    <w:rsid w:val="005A5855"/>
    <w:rsid w:val="005B0462"/>
    <w:rsid w:val="00607316"/>
    <w:rsid w:val="00614E03"/>
    <w:rsid w:val="006A49FC"/>
    <w:rsid w:val="0077505D"/>
    <w:rsid w:val="007B0B50"/>
    <w:rsid w:val="008877AA"/>
    <w:rsid w:val="008D543D"/>
    <w:rsid w:val="00915524"/>
    <w:rsid w:val="0092047E"/>
    <w:rsid w:val="00934910"/>
    <w:rsid w:val="009916F2"/>
    <w:rsid w:val="00A24155"/>
    <w:rsid w:val="00A5656C"/>
    <w:rsid w:val="00B44B1A"/>
    <w:rsid w:val="00BD3332"/>
    <w:rsid w:val="00CA52A6"/>
    <w:rsid w:val="00D253E2"/>
    <w:rsid w:val="00DD650E"/>
    <w:rsid w:val="00DE0F73"/>
    <w:rsid w:val="00F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4192"/>
  <w15:docId w15:val="{A596643B-8F3A-43D5-99CF-4076233C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3D"/>
  </w:style>
  <w:style w:type="paragraph" w:styleId="Footer">
    <w:name w:val="footer"/>
    <w:basedOn w:val="Normal"/>
    <w:link w:val="FooterChar"/>
    <w:uiPriority w:val="99"/>
    <w:unhideWhenUsed/>
    <w:rsid w:val="008D5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3D"/>
  </w:style>
  <w:style w:type="paragraph" w:styleId="ListParagraph">
    <w:name w:val="List Paragraph"/>
    <w:basedOn w:val="Normal"/>
    <w:uiPriority w:val="34"/>
    <w:qFormat/>
    <w:rsid w:val="008D54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 ICT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</dc:creator>
  <cp:lastModifiedBy>Rachel Boren</cp:lastModifiedBy>
  <cp:revision>3</cp:revision>
  <dcterms:created xsi:type="dcterms:W3CDTF">2022-07-27T20:15:00Z</dcterms:created>
  <dcterms:modified xsi:type="dcterms:W3CDTF">2022-07-27T20:17:00Z</dcterms:modified>
</cp:coreProperties>
</file>